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B6" w:rsidRPr="00C434B6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b/>
          <w:sz w:val="32"/>
          <w:szCs w:val="32"/>
        </w:rPr>
      </w:pPr>
      <w:r w:rsidRPr="00C434B6">
        <w:rPr>
          <w:rFonts w:ascii="Arial" w:eastAsia="Times New Roman" w:hAnsi="Arial" w:cs="Arial"/>
          <w:b/>
          <w:sz w:val="32"/>
          <w:szCs w:val="32"/>
        </w:rPr>
        <w:t>SAMBA – SILOPAINT VELATURA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Силоксановая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краска с эффектом «ВЕЛАТУРА»</w:t>
      </w:r>
    </w:p>
    <w:p w:rsidR="007B5BC2" w:rsidRPr="007B5BC2" w:rsidRDefault="007B5BC2" w:rsidP="007B5BC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7B5BC2">
        <w:rPr>
          <w:rFonts w:ascii="Trebuchet MS" w:eastAsia="Times New Roman" w:hAnsi="Trebuchet MS" w:cs="Times New Roman"/>
          <w:sz w:val="28"/>
          <w:szCs w:val="28"/>
        </w:rPr>
        <w:t>Применение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При строительных и ремонтных работах – для придания окрашенной поверхности  особого эффекта «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велатура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>» простым способом.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Может использоваться на новых и ранее окрашенных поверхностях при наружных и внутренних работах.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 xml:space="preserve">Состав материала обеспечивает значительные «дышащие» и водоотталкивающие свойства материала, в особенности при использовании его в качестве последнего слоя на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Silopaint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2280-0050 G.F. или 2281.0050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Silopaint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G.G.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 xml:space="preserve">Может колероваться с помощью системы COLORMAKER или COLORMAKER AQUA в цвета каталога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Silopaint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Velatura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>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 xml:space="preserve">Краски, полученные с помощью пигментов на основе оксидов, устойчивы к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воздействияю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света и, следовательно, могут использоваться для наружных работ.</w:t>
      </w:r>
    </w:p>
    <w:p w:rsidR="007B5BC2" w:rsidRPr="007B5BC2" w:rsidRDefault="007B5BC2" w:rsidP="007B5BC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7B5BC2">
        <w:rPr>
          <w:rFonts w:ascii="Trebuchet MS" w:eastAsia="Times New Roman" w:hAnsi="Trebuchet MS" w:cs="Times New Roman"/>
          <w:sz w:val="28"/>
          <w:szCs w:val="28"/>
        </w:rPr>
        <w:t>Общие характеристики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 xml:space="preserve">Полупрозрачная краска для стен на основе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силоксановых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смол, характеризующаяся:</w:t>
      </w:r>
    </w:p>
    <w:p w:rsidR="007B5BC2" w:rsidRPr="007B5BC2" w:rsidRDefault="007B5BC2" w:rsidP="007B5BC2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высокой гидрофобностью (стандарт DIN 52617) = W24</w:t>
      </w:r>
      <w:proofErr w:type="gramStart"/>
      <w:r w:rsidRPr="007B5BC2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Pr="007B5BC2">
        <w:rPr>
          <w:rFonts w:ascii="Arial" w:eastAsia="Times New Roman" w:hAnsi="Arial" w:cs="Arial"/>
          <w:sz w:val="20"/>
          <w:szCs w:val="20"/>
        </w:rPr>
        <w:t xml:space="preserve"> 0,35;</w:t>
      </w:r>
    </w:p>
    <w:p w:rsidR="007B5BC2" w:rsidRPr="007B5BC2" w:rsidRDefault="007B5BC2" w:rsidP="007B5BC2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proofErr w:type="gramStart"/>
      <w:r w:rsidRPr="007B5BC2">
        <w:rPr>
          <w:rFonts w:ascii="Arial" w:eastAsia="Times New Roman" w:hAnsi="Arial" w:cs="Arial"/>
          <w:sz w:val="20"/>
          <w:szCs w:val="20"/>
        </w:rPr>
        <w:t>отличной</w:t>
      </w:r>
      <w:proofErr w:type="gramEnd"/>
      <w:r w:rsidRPr="007B5B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паропроницаемостью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(стандарт UNI 9396) = SD: 0,14;</w:t>
      </w:r>
    </w:p>
    <w:p w:rsidR="007B5BC2" w:rsidRPr="007B5BC2" w:rsidRDefault="007B5BC2" w:rsidP="007B5BC2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proofErr w:type="spellStart"/>
      <w:r w:rsidRPr="007B5BC2">
        <w:rPr>
          <w:rFonts w:ascii="Arial" w:eastAsia="Times New Roman" w:hAnsi="Arial" w:cs="Arial"/>
          <w:sz w:val="20"/>
          <w:szCs w:val="20"/>
        </w:rPr>
        <w:t>неомыляемостью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>;</w:t>
      </w:r>
    </w:p>
    <w:p w:rsidR="007B5BC2" w:rsidRPr="007B5BC2" w:rsidRDefault="007B5BC2" w:rsidP="007B5BC2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возможностью влажной уборки;</w:t>
      </w:r>
    </w:p>
    <w:p w:rsidR="007B5BC2" w:rsidRPr="007B5BC2" w:rsidRDefault="007B5BC2" w:rsidP="007B5BC2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устойчивостью к атмосферным осадкам;</w:t>
      </w:r>
    </w:p>
    <w:p w:rsidR="007B5BC2" w:rsidRPr="007B5BC2" w:rsidRDefault="007B5BC2" w:rsidP="007B5BC2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легкостью нанесения.</w:t>
      </w:r>
    </w:p>
    <w:p w:rsidR="007B5BC2" w:rsidRPr="007B5BC2" w:rsidRDefault="007B5BC2" w:rsidP="007B5BC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7B5BC2">
        <w:rPr>
          <w:rFonts w:ascii="Trebuchet MS" w:eastAsia="Times New Roman" w:hAnsi="Trebuchet MS" w:cs="Times New Roman"/>
          <w:sz w:val="28"/>
          <w:szCs w:val="28"/>
        </w:rPr>
        <w:t>Технические характеристики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(данные, полученные при 20°С)</w:t>
      </w:r>
    </w:p>
    <w:tbl>
      <w:tblPr>
        <w:tblW w:w="862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5"/>
        <w:gridCol w:w="1122"/>
        <w:gridCol w:w="1840"/>
      </w:tblGrid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 xml:space="preserve">Вязкость по </w:t>
            </w:r>
            <w:proofErr w:type="spellStart"/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Брукфильду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5BC2">
              <w:rPr>
                <w:rFonts w:ascii="Arial" w:eastAsia="Times New Roman" w:hAnsi="Arial" w:cs="Arial"/>
                <w:sz w:val="20"/>
                <w:szCs w:val="20"/>
              </w:rPr>
              <w:t>сПз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1150 ± 100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gramEnd"/>
            <w:r w:rsidRPr="007B5BC2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0,960 ± 0,030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Сухой остаток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14 ± 1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Теоретический расход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 w:rsidRPr="007B5BC2">
              <w:rPr>
                <w:rFonts w:ascii="Arial" w:eastAsia="Times New Roman" w:hAnsi="Arial" w:cs="Arial"/>
                <w:sz w:val="20"/>
                <w:szCs w:val="20"/>
              </w:rPr>
              <w:t>²/л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15-20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Внешний вид поверхностной плёнки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глянец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матовый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Растворитель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вода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 xml:space="preserve">Высыхание до </w:t>
            </w:r>
            <w:proofErr w:type="spellStart"/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неприлипания</w:t>
            </w:r>
            <w:proofErr w:type="spellEnd"/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 xml:space="preserve"> пыли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минуты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15-30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 xml:space="preserve">Высыхание до </w:t>
            </w:r>
            <w:proofErr w:type="spellStart"/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отлипа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минуты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40-60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Высыхание на всю глубину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2-4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</w:rPr>
              <w:t>Готовность к повторному окрашиванию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2-4</w:t>
            </w:r>
          </w:p>
        </w:tc>
      </w:tr>
    </w:tbl>
    <w:p w:rsidR="007B5BC2" w:rsidRPr="007B5BC2" w:rsidRDefault="007B5BC2" w:rsidP="007B5BC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7B5BC2">
        <w:rPr>
          <w:rFonts w:ascii="Trebuchet MS" w:eastAsia="Times New Roman" w:hAnsi="Trebuchet MS" w:cs="Times New Roman"/>
          <w:sz w:val="28"/>
          <w:szCs w:val="28"/>
        </w:rPr>
        <w:t>Способ нанесения</w:t>
      </w:r>
    </w:p>
    <w:tbl>
      <w:tblPr>
        <w:tblW w:w="862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2350"/>
        <w:gridCol w:w="3421"/>
      </w:tblGrid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Кисть, губка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развести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водой на 25-30%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B5BC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Валик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развести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водой на 20-30%</w:t>
            </w:r>
          </w:p>
        </w:tc>
      </w:tr>
      <w:tr w:rsidR="007B5BC2" w:rsidRPr="007B5BC2" w:rsidTr="007B5BC2">
        <w:trPr>
          <w:jc w:val="center"/>
        </w:trPr>
        <w:tc>
          <w:tcPr>
            <w:tcW w:w="0" w:type="auto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Процент разведения сильно варьируется в зависимости от насыщенности оттенка, желаемого эффекта и впитывающих свойств поверхности. Расход может варьироваться в зависимости от впитывающих свойств и шероховатости поверхности, а также от метода нанесения.</w:t>
            </w:r>
          </w:p>
          <w:p w:rsidR="007B5BC2" w:rsidRPr="007B5BC2" w:rsidRDefault="007B5BC2" w:rsidP="007B5BC2">
            <w:pPr>
              <w:spacing w:before="240" w:after="24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B5BC2">
              <w:rPr>
                <w:rFonts w:ascii="Arial" w:eastAsia="Times New Roman" w:hAnsi="Arial" w:cs="Arial"/>
                <w:sz w:val="20"/>
                <w:szCs w:val="20"/>
              </w:rPr>
              <w:t>Аккуратно перемешать материал, добавляя в него воду до получения требуемой вязкости. Не наносить материал при температуре ниже 5°С. Кисти и инструменты промывать сразу же после использования. Хранить материал в тепле.</w:t>
            </w:r>
          </w:p>
        </w:tc>
      </w:tr>
    </w:tbl>
    <w:p w:rsidR="007B5BC2" w:rsidRPr="007B5BC2" w:rsidRDefault="007B5BC2" w:rsidP="007B5BC2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7B5BC2">
        <w:rPr>
          <w:rFonts w:ascii="Trebuchet MS" w:eastAsia="Times New Roman" w:hAnsi="Trebuchet MS" w:cs="Times New Roman"/>
          <w:sz w:val="28"/>
          <w:szCs w:val="28"/>
        </w:rPr>
        <w:t>Порядок применения</w:t>
      </w:r>
    </w:p>
    <w:p w:rsidR="007B5BC2" w:rsidRPr="007B5BC2" w:rsidRDefault="007B5BC2" w:rsidP="007B5BC2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Times New Roman"/>
          <w:sz w:val="25"/>
          <w:szCs w:val="25"/>
        </w:rPr>
      </w:pPr>
      <w:r w:rsidRPr="007B5BC2">
        <w:rPr>
          <w:rFonts w:ascii="Trebuchet MS" w:eastAsia="Times New Roman" w:hAnsi="Trebuchet MS" w:cs="Times New Roman"/>
          <w:sz w:val="25"/>
          <w:szCs w:val="25"/>
        </w:rPr>
        <w:t>При внутренних работах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 xml:space="preserve">Нанести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Samba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на поверхность, подготовленную с помощью одного слоя  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Fondo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Universale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per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Decorativi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серии 2286.0150.</w:t>
      </w:r>
    </w:p>
    <w:p w:rsidR="007B5BC2" w:rsidRPr="007B5BC2" w:rsidRDefault="007B5BC2" w:rsidP="007B5BC2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Times New Roman"/>
          <w:sz w:val="25"/>
          <w:szCs w:val="25"/>
        </w:rPr>
      </w:pPr>
      <w:r w:rsidRPr="007B5BC2">
        <w:rPr>
          <w:rFonts w:ascii="Trebuchet MS" w:eastAsia="Times New Roman" w:hAnsi="Trebuchet MS" w:cs="Times New Roman"/>
          <w:sz w:val="25"/>
          <w:szCs w:val="25"/>
        </w:rPr>
        <w:t>При наружных работах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 xml:space="preserve">Наносить на поверхности, окрашенные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акрил-силоксановыми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или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силоксановыми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красками серии 2270-2281-2282.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proofErr w:type="spellStart"/>
      <w:r w:rsidRPr="007B5BC2">
        <w:rPr>
          <w:rFonts w:ascii="Arial" w:eastAsia="Times New Roman" w:hAnsi="Arial" w:cs="Arial"/>
          <w:sz w:val="20"/>
          <w:szCs w:val="20"/>
        </w:rPr>
        <w:t>Samba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 xml:space="preserve"> следует наносить с использованием </w:t>
      </w:r>
      <w:proofErr w:type="spellStart"/>
      <w:r w:rsidRPr="007B5BC2">
        <w:rPr>
          <w:rFonts w:ascii="Arial" w:eastAsia="Times New Roman" w:hAnsi="Arial" w:cs="Arial"/>
          <w:sz w:val="20"/>
          <w:szCs w:val="20"/>
        </w:rPr>
        <w:t>иструмента</w:t>
      </w:r>
      <w:proofErr w:type="spellEnd"/>
      <w:r w:rsidRPr="007B5BC2">
        <w:rPr>
          <w:rFonts w:ascii="Arial" w:eastAsia="Times New Roman" w:hAnsi="Arial" w:cs="Arial"/>
          <w:sz w:val="20"/>
          <w:szCs w:val="20"/>
        </w:rPr>
        <w:t>, наиболее подходящего для получения требуемого эффекта: кистью, губкой или перчаткой.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Нанести первый слой равномерно и, пока материал не затвердел, удалить его излишки. Не ранее, чем через 4-6 часов нанести второй слой для получения требуемого эффекта.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С помощью этого материала можно получать различные эффекты в зависимости от фантазии и изобретательности декоратора.</w:t>
      </w:r>
    </w:p>
    <w:p w:rsidR="007B5BC2" w:rsidRPr="007B5BC2" w:rsidRDefault="007B5BC2" w:rsidP="007B5BC2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7B5BC2">
        <w:rPr>
          <w:rFonts w:ascii="Arial" w:eastAsia="Times New Roman" w:hAnsi="Arial" w:cs="Arial"/>
          <w:sz w:val="20"/>
          <w:szCs w:val="20"/>
        </w:rPr>
        <w:t>Приведенная информация получена на основе нашего собственного опыта. Вследствие наличия большого количества видов применения и нанесения, мы не можем предоставить гарантии на каждый конкретный случай.</w:t>
      </w:r>
    </w:p>
    <w:p w:rsidR="00E74BBD" w:rsidRPr="007B5BC2" w:rsidRDefault="00E74BBD"/>
    <w:sectPr w:rsidR="00E74BBD" w:rsidRPr="007B5BC2" w:rsidSect="0099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767"/>
    <w:multiLevelType w:val="multilevel"/>
    <w:tmpl w:val="540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5BC2"/>
    <w:rsid w:val="007B5BC2"/>
    <w:rsid w:val="00992137"/>
    <w:rsid w:val="00C434B6"/>
    <w:rsid w:val="00E7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37"/>
  </w:style>
  <w:style w:type="paragraph" w:styleId="2">
    <w:name w:val="heading 2"/>
    <w:basedOn w:val="a"/>
    <w:link w:val="20"/>
    <w:uiPriority w:val="9"/>
    <w:qFormat/>
    <w:rsid w:val="007B5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5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B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5B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B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5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3</cp:revision>
  <dcterms:created xsi:type="dcterms:W3CDTF">2014-11-14T14:20:00Z</dcterms:created>
  <dcterms:modified xsi:type="dcterms:W3CDTF">2014-11-15T07:17:00Z</dcterms:modified>
</cp:coreProperties>
</file>