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DF" w:rsidRPr="00615FDF" w:rsidRDefault="00615FDF" w:rsidP="00615FDF">
      <w:pPr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</w:pPr>
      <w:r w:rsidRPr="00615FDF"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  <w:fldChar w:fldCharType="begin"/>
      </w:r>
      <w:r w:rsidRPr="00615FDF"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  <w:instrText xml:space="preserve"> HYPERLINK "http://www.paritet-color.ru/index.php/component/content/article/19-paritet-line-protection/119-dry-ston-classic" </w:instrText>
      </w:r>
      <w:r w:rsidRPr="00615FDF"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  <w:fldChar w:fldCharType="separate"/>
      </w:r>
      <w:proofErr w:type="spellStart"/>
      <w:r w:rsidRPr="00615FDF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>Dry</w:t>
      </w:r>
      <w:proofErr w:type="spellEnd"/>
      <w:r w:rsidRPr="00615FDF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 xml:space="preserve"> </w:t>
      </w:r>
      <w:proofErr w:type="spellStart"/>
      <w:r w:rsidRPr="00615FDF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>ston</w:t>
      </w:r>
      <w:proofErr w:type="spellEnd"/>
      <w:r w:rsidRPr="00615FDF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 xml:space="preserve"> </w:t>
      </w:r>
      <w:proofErr w:type="spellStart"/>
      <w:r w:rsidRPr="00615FDF">
        <w:rPr>
          <w:rFonts w:ascii="Arial" w:eastAsia="Times New Roman" w:hAnsi="Arial" w:cs="Arial"/>
          <w:b/>
          <w:bCs/>
          <w:smallCaps/>
          <w:color w:val="43492C"/>
          <w:sz w:val="39"/>
          <w:lang w:eastAsia="ru-RU"/>
        </w:rPr>
        <w:t>classic</w:t>
      </w:r>
      <w:proofErr w:type="spellEnd"/>
      <w:r w:rsidRPr="00615FDF">
        <w:rPr>
          <w:rFonts w:ascii="Arial" w:eastAsia="Times New Roman" w:hAnsi="Arial" w:cs="Arial"/>
          <w:b/>
          <w:bCs/>
          <w:smallCaps/>
          <w:color w:val="1F1F1F"/>
          <w:sz w:val="39"/>
          <w:szCs w:val="39"/>
          <w:lang w:eastAsia="ru-RU"/>
        </w:rPr>
        <w:fldChar w:fldCharType="end"/>
      </w:r>
    </w:p>
    <w:p w:rsidR="00615FDF" w:rsidRPr="00615FDF" w:rsidRDefault="00615FDF" w:rsidP="00615FDF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 </w:t>
      </w:r>
      <w:r w:rsidRPr="00615FDF">
        <w:rPr>
          <w:rFonts w:ascii="Tahoma" w:eastAsia="Times New Roman" w:hAnsi="Tahoma" w:cs="Tahoma"/>
          <w:b/>
          <w:bCs/>
          <w:color w:val="495030"/>
          <w:sz w:val="21"/>
          <w:lang w:eastAsia="ru-RU"/>
        </w:rPr>
        <w:t>      Применение</w:t>
      </w:r>
    </w:p>
    <w:p w:rsidR="00615FDF" w:rsidRPr="00615FDF" w:rsidRDefault="00615FDF" w:rsidP="00615FDF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Dry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 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Stone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 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Classic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 предназначен для придания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водогрязеотталкивающих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антисепти</w:t>
      </w: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 xml:space="preserve">ческих свойств различным видам кирпича, бетона, штукатурки, пенобетону,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шиферу</w:t>
      </w:r>
      <w:proofErr w:type="gram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,д</w:t>
      </w:r>
      <w:proofErr w:type="gram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ереву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другим строительным материалам.</w:t>
      </w:r>
    </w:p>
    <w:p w:rsidR="00615FDF" w:rsidRPr="00615FDF" w:rsidRDefault="00615FDF" w:rsidP="00615FDF">
      <w:pPr>
        <w:keepNext/>
        <w:spacing w:after="41" w:line="200" w:lineRule="atLeast"/>
        <w:ind w:left="20" w:firstLine="28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b/>
          <w:bCs/>
          <w:color w:val="495030"/>
          <w:sz w:val="21"/>
          <w:lang w:eastAsia="ru-RU"/>
        </w:rPr>
        <w:t>Характеристики</w:t>
      </w:r>
    </w:p>
    <w:p w:rsidR="00615FDF" w:rsidRPr="00615FDF" w:rsidRDefault="00615FDF" w:rsidP="00615FDF">
      <w:pPr>
        <w:spacing w:after="114" w:line="240" w:lineRule="auto"/>
        <w:ind w:left="20" w:right="2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Концентрат кремнийорганической эмульсии. Препятствует появлению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повторныхвысолов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. Увеличивает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атмосферостойкость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обработанной поверхности.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Препятствуетобледенению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загрязнению поверхности. Придает материалу высокую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щелоч</w:t>
      </w:r>
      <w:proofErr w:type="gram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е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-</w:t>
      </w:r>
      <w:proofErr w:type="gram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икоррозионную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стойкость. Не снижает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паропроницаемости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не изменяет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внешнийвид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обработанного материала. Проникает внутрь обрабатываемого материала наглубину</w:t>
      </w:r>
      <w:proofErr w:type="gramStart"/>
      <w:r w:rsidRPr="00615FDF">
        <w:rPr>
          <w:rFonts w:ascii="Tahoma" w:eastAsia="Times New Roman" w:hAnsi="Tahoma" w:cs="Tahoma"/>
          <w:color w:val="495030"/>
          <w:sz w:val="21"/>
          <w:lang w:eastAsia="ru-RU"/>
        </w:rPr>
        <w:t>1</w:t>
      </w:r>
      <w:proofErr w:type="gramEnd"/>
      <w:r w:rsidRPr="00615FDF">
        <w:rPr>
          <w:rFonts w:ascii="Tahoma" w:eastAsia="Times New Roman" w:hAnsi="Tahoma" w:cs="Tahoma"/>
          <w:color w:val="495030"/>
          <w:sz w:val="21"/>
          <w:lang w:eastAsia="ru-RU"/>
        </w:rPr>
        <w:t>,0 - 10 </w:t>
      </w: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мм. Применяется в качестве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глубокопроникающего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грунта для фа</w:t>
      </w: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 xml:space="preserve">садных красок: акриловых, латексных, силикатных,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вододисперсных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и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органорастворимых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(срок службы окрасочного слоя увеличивается в несколько раз).</w:t>
      </w:r>
    </w:p>
    <w:p w:rsidR="00615FDF" w:rsidRPr="00615FDF" w:rsidRDefault="00615FDF" w:rsidP="00615FDF">
      <w:pPr>
        <w:keepNext/>
        <w:spacing w:after="36" w:line="200" w:lineRule="atLeast"/>
        <w:ind w:left="20" w:firstLine="280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b/>
          <w:bCs/>
          <w:color w:val="495030"/>
          <w:sz w:val="21"/>
          <w:lang w:eastAsia="ru-RU"/>
        </w:rPr>
        <w:t>Инструкция по применению</w:t>
      </w:r>
    </w:p>
    <w:p w:rsidR="00615FDF" w:rsidRPr="00615FDF" w:rsidRDefault="00615FDF" w:rsidP="00615FDF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Подготовка поверхности. Поверхности очистить от грязи и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высолов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.</w:t>
      </w:r>
    </w:p>
    <w:p w:rsidR="00615FDF" w:rsidRPr="00615FDF" w:rsidRDefault="00615FDF" w:rsidP="00615FDF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Нанесение. Для приготовления рабочей смеси необходимо перемешать концен</w:t>
      </w: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 xml:space="preserve">трат эмульсии, затем развести водой в соотношении: 3 части воды на 1 часть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Dry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Stone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</w:t>
      </w:r>
      <w:proofErr w:type="spell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Classic</w:t>
      </w:r>
      <w:proofErr w:type="spell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. Наносить на сухую поверхность при помощи кисти, валика, распыли</w:t>
      </w: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>теля в несколько слоев (с интервалом не более 10 минут) до полного насыщения поверхности.</w:t>
      </w:r>
    </w:p>
    <w:p w:rsidR="00615FDF" w:rsidRPr="00615FDF" w:rsidRDefault="00615FDF" w:rsidP="00615FDF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 </w:t>
      </w:r>
      <w:r w:rsidRPr="00615FDF">
        <w:rPr>
          <w:rFonts w:ascii="Tahoma" w:eastAsia="Times New Roman" w:hAnsi="Tahoma" w:cs="Tahoma"/>
          <w:b/>
          <w:bCs/>
          <w:color w:val="495030"/>
          <w:sz w:val="21"/>
          <w:lang w:eastAsia="ru-RU"/>
        </w:rPr>
        <w:t>     Условия нанесения.</w:t>
      </w:r>
    </w:p>
    <w:p w:rsidR="00615FDF" w:rsidRPr="00615FDF" w:rsidRDefault="00615FDF" w:rsidP="00615FDF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Наносить при температуре окружающего воздуха от +5</w:t>
      </w:r>
      <w:proofErr w:type="gramStart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°С</w:t>
      </w:r>
      <w:proofErr w:type="gramEnd"/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 xml:space="preserve"> до+30°С. Водоотталкивающий эффект наступает в течение 24 часов. При использова</w:t>
      </w: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softHyphen/>
        <w:t>нии в качестве грунта под краску необходим тест на совместимость.</w:t>
      </w:r>
    </w:p>
    <w:p w:rsidR="00615FDF" w:rsidRPr="00615FDF" w:rsidRDefault="00615FDF" w:rsidP="00615FDF">
      <w:pPr>
        <w:spacing w:before="180" w:after="180" w:line="240" w:lineRule="auto"/>
        <w:jc w:val="both"/>
        <w:rPr>
          <w:rFonts w:ascii="Tahoma" w:eastAsia="Times New Roman" w:hAnsi="Tahoma" w:cs="Tahoma"/>
          <w:color w:val="495030"/>
          <w:sz w:val="21"/>
          <w:szCs w:val="21"/>
          <w:lang w:eastAsia="ru-RU"/>
        </w:rPr>
      </w:pPr>
      <w:r w:rsidRPr="00615FDF">
        <w:rPr>
          <w:rFonts w:ascii="Tahoma" w:eastAsia="Times New Roman" w:hAnsi="Tahoma" w:cs="Tahoma"/>
          <w:color w:val="49503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2346"/>
        <w:gridCol w:w="7014"/>
      </w:tblGrid>
      <w:tr w:rsidR="00615FDF" w:rsidRPr="00615FDF" w:rsidTr="00615FDF">
        <w:trPr>
          <w:trHeight w:val="341"/>
          <w:jc w:val="center"/>
        </w:trPr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Упаковка</w:t>
            </w:r>
          </w:p>
        </w:tc>
        <w:tc>
          <w:tcPr>
            <w:tcW w:w="8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Полиэтиленовые канистры 1 и 5л</w:t>
            </w:r>
          </w:p>
        </w:tc>
      </w:tr>
      <w:tr w:rsidR="00615FDF" w:rsidRPr="00615FDF" w:rsidTr="00615FDF">
        <w:trPr>
          <w:trHeight w:val="331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Концентрация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Концентрат, разводится водой (1:3)</w:t>
            </w:r>
          </w:p>
        </w:tc>
      </w:tr>
      <w:tr w:rsidR="00615FDF" w:rsidRPr="00615FDF" w:rsidTr="00615FDF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Основа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Кремнийорганическая эмульсия</w:t>
            </w:r>
          </w:p>
        </w:tc>
      </w:tr>
      <w:tr w:rsidR="00615FDF" w:rsidRPr="00615FDF" w:rsidTr="00615FDF">
        <w:trPr>
          <w:trHeight w:val="331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Расход материала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150 - 300мл готового раствора/м</w:t>
            </w:r>
            <w:proofErr w:type="gramStart"/>
            <w:r w:rsidRPr="00615FDF">
              <w:rPr>
                <w:rFonts w:ascii="Tahoma" w:eastAsia="Times New Roman" w:hAnsi="Tahoma" w:cs="Tahoma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 зависимости от пористости поверхности</w:t>
            </w:r>
          </w:p>
        </w:tc>
      </w:tr>
      <w:tr w:rsidR="00615FDF" w:rsidRPr="00615FDF" w:rsidTr="00615FDF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Плотность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0,9 - 1,10г/см</w:t>
            </w:r>
            <w:r w:rsidRPr="00615FDF">
              <w:rPr>
                <w:rFonts w:ascii="Tahoma" w:eastAsia="Times New Roman" w:hAnsi="Tahoma" w:cs="Tahoma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</w:tr>
      <w:tr w:rsidR="00615FDF" w:rsidRPr="00615FDF" w:rsidTr="00615FDF">
        <w:trPr>
          <w:trHeight w:val="331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Реакция среды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5,5 -</w:t>
            </w: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 </w:t>
            </w: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9,5pH</w:t>
            </w:r>
          </w:p>
        </w:tc>
      </w:tr>
      <w:tr w:rsidR="00615FDF" w:rsidRPr="00615FDF" w:rsidTr="00615FDF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 xml:space="preserve">Снижение </w:t>
            </w:r>
            <w:proofErr w:type="spellStart"/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водопоглощения</w:t>
            </w:r>
            <w:proofErr w:type="spellEnd"/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Бетона - не менее чем в 3 раза; кирпича - не менее чем в 20 раз</w:t>
            </w:r>
          </w:p>
        </w:tc>
      </w:tr>
      <w:tr w:rsidR="00615FDF" w:rsidRPr="00615FDF" w:rsidTr="00615FDF">
        <w:trPr>
          <w:trHeight w:val="331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Условия хранения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месяцев при</w:t>
            </w: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 </w:t>
            </w:r>
            <w:proofErr w:type="spellStart"/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tот</w:t>
            </w:r>
            <w:proofErr w:type="spellEnd"/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+5</w:t>
            </w:r>
            <w:proofErr w:type="gramStart"/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°С</w:t>
            </w:r>
            <w:proofErr w:type="gramEnd"/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+30°С в ненарушенной заводской упаковке</w:t>
            </w:r>
          </w:p>
        </w:tc>
      </w:tr>
      <w:tr w:rsidR="00615FDF" w:rsidRPr="00615FDF" w:rsidTr="00615FDF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Способ нанесения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Кистью, валиком или распылителем</w:t>
            </w:r>
          </w:p>
        </w:tc>
      </w:tr>
      <w:tr w:rsidR="00615FDF" w:rsidRPr="00615FDF" w:rsidTr="00615FDF">
        <w:trPr>
          <w:trHeight w:val="336"/>
          <w:jc w:val="center"/>
        </w:trPr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lang w:eastAsia="ru-RU"/>
              </w:rPr>
              <w:t>Срок службы покрытия</w:t>
            </w:r>
          </w:p>
        </w:tc>
        <w:tc>
          <w:tcPr>
            <w:tcW w:w="8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15FDF" w:rsidRPr="00615FDF" w:rsidRDefault="00615FDF" w:rsidP="00615FDF">
            <w:pPr>
              <w:spacing w:after="0" w:line="240" w:lineRule="auto"/>
              <w:ind w:left="34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15FD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менее 10 лет</w:t>
            </w:r>
          </w:p>
        </w:tc>
      </w:tr>
    </w:tbl>
    <w:p w:rsidR="00153DAB" w:rsidRDefault="00153DAB"/>
    <w:sectPr w:rsidR="00153DAB" w:rsidSect="0015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FDF"/>
    <w:rsid w:val="00153DAB"/>
    <w:rsid w:val="0061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AB"/>
  </w:style>
  <w:style w:type="paragraph" w:styleId="2">
    <w:name w:val="heading 2"/>
    <w:basedOn w:val="a"/>
    <w:link w:val="20"/>
    <w:uiPriority w:val="9"/>
    <w:qFormat/>
    <w:rsid w:val="00615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5F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5FDF"/>
    <w:rPr>
      <w:b/>
      <w:bCs/>
    </w:rPr>
  </w:style>
  <w:style w:type="paragraph" w:customStyle="1" w:styleId="520">
    <w:name w:val="520"/>
    <w:basedOn w:val="a"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10">
    <w:name w:val="3210"/>
    <w:basedOn w:val="a"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3">
    <w:name w:val="323"/>
    <w:basedOn w:val="a0"/>
    <w:rsid w:val="00615FDF"/>
  </w:style>
  <w:style w:type="character" w:customStyle="1" w:styleId="apple-converted-space">
    <w:name w:val="apple-converted-space"/>
    <w:basedOn w:val="a0"/>
    <w:rsid w:val="00615FDF"/>
  </w:style>
  <w:style w:type="paragraph" w:customStyle="1" w:styleId="291">
    <w:name w:val="291"/>
    <w:basedOn w:val="a"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3">
    <w:name w:val="293"/>
    <w:basedOn w:val="a0"/>
    <w:rsid w:val="00615FDF"/>
  </w:style>
  <w:style w:type="paragraph" w:customStyle="1" w:styleId="281">
    <w:name w:val="281"/>
    <w:basedOn w:val="a"/>
    <w:rsid w:val="006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3791">
          <w:marLeft w:val="0"/>
          <w:marRight w:val="0"/>
          <w:marTop w:val="0"/>
          <w:marBottom w:val="0"/>
          <w:divBdr>
            <w:top w:val="single" w:sz="6" w:space="1" w:color="A4AF79"/>
            <w:left w:val="single" w:sz="6" w:space="1" w:color="A4AF79"/>
            <w:bottom w:val="single" w:sz="6" w:space="1" w:color="A4AF79"/>
            <w:right w:val="single" w:sz="6" w:space="1" w:color="A4AF79"/>
          </w:divBdr>
        </w:div>
        <w:div w:id="1612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2014-11-12T10:20:00Z</dcterms:created>
  <dcterms:modified xsi:type="dcterms:W3CDTF">2014-11-12T10:22:00Z</dcterms:modified>
</cp:coreProperties>
</file>